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839C03" w14:textId="65E89B4A" w:rsidR="006255E7" w:rsidRPr="00DE3FC8" w:rsidRDefault="006255E7" w:rsidP="006255E7">
      <w:pPr>
        <w:pStyle w:val="3GPPHeader"/>
        <w:spacing w:after="60"/>
        <w:rPr>
          <w:sz w:val="32"/>
          <w:szCs w:val="32"/>
          <w:highlight w:val="yellow"/>
          <w:lang w:val="en-US"/>
        </w:rPr>
      </w:pPr>
      <w:r w:rsidRPr="00DE3FC8">
        <w:rPr>
          <w:lang w:val="en-US"/>
        </w:rPr>
        <w:t>3GPP TSG-RAN WG2 #1</w:t>
      </w:r>
      <w:r w:rsidR="00987313">
        <w:rPr>
          <w:lang w:val="en-US"/>
        </w:rPr>
        <w:t>23</w:t>
      </w:r>
      <w:r w:rsidR="00AE41D5">
        <w:rPr>
          <w:lang w:val="en-US"/>
        </w:rPr>
        <w:t>-</w:t>
      </w:r>
      <w:r w:rsidR="00987313">
        <w:rPr>
          <w:lang w:val="en-US"/>
        </w:rPr>
        <w:t>bis</w:t>
      </w:r>
      <w:r w:rsidRPr="00DE3FC8">
        <w:rPr>
          <w:lang w:val="en-US"/>
        </w:rPr>
        <w:tab/>
      </w:r>
      <w:r>
        <w:rPr>
          <w:sz w:val="32"/>
          <w:szCs w:val="32"/>
          <w:lang w:val="en-US"/>
        </w:rPr>
        <w:t>R2-</w:t>
      </w:r>
      <w:r w:rsidR="00120B7F">
        <w:rPr>
          <w:sz w:val="32"/>
          <w:szCs w:val="32"/>
          <w:lang w:val="en-US"/>
        </w:rPr>
        <w:t>23</w:t>
      </w:r>
      <w:r w:rsidR="00A10BAE">
        <w:rPr>
          <w:sz w:val="32"/>
          <w:szCs w:val="32"/>
          <w:lang w:val="en-US"/>
        </w:rPr>
        <w:t>10901</w:t>
      </w:r>
    </w:p>
    <w:p w14:paraId="5104E0A7" w14:textId="1C658139" w:rsidR="006255E7" w:rsidRDefault="00987313" w:rsidP="006255E7">
      <w:pPr>
        <w:pStyle w:val="CRCoverPage"/>
        <w:outlineLvl w:val="0"/>
        <w:rPr>
          <w:b/>
          <w:noProof/>
          <w:sz w:val="24"/>
        </w:rPr>
      </w:pPr>
      <w:r>
        <w:rPr>
          <w:b/>
          <w:noProof/>
          <w:sz w:val="24"/>
        </w:rPr>
        <w:t>Xiamen</w:t>
      </w:r>
      <w:r w:rsidR="006255E7">
        <w:rPr>
          <w:b/>
          <w:noProof/>
          <w:sz w:val="24"/>
        </w:rPr>
        <w:t xml:space="preserve">, </w:t>
      </w:r>
      <w:r>
        <w:rPr>
          <w:b/>
          <w:noProof/>
          <w:sz w:val="24"/>
        </w:rPr>
        <w:t>China</w:t>
      </w:r>
      <w:r w:rsidR="006255E7">
        <w:rPr>
          <w:b/>
          <w:noProof/>
          <w:sz w:val="24"/>
        </w:rPr>
        <w:t xml:space="preserve">, </w:t>
      </w:r>
      <w:r w:rsidR="00E455C2">
        <w:rPr>
          <w:b/>
          <w:noProof/>
          <w:sz w:val="24"/>
        </w:rPr>
        <w:t>9</w:t>
      </w:r>
      <w:r w:rsidR="00AE41D5" w:rsidRPr="00AE41D5">
        <w:rPr>
          <w:b/>
          <w:noProof/>
          <w:sz w:val="24"/>
          <w:vertAlign w:val="superscript"/>
        </w:rPr>
        <w:t>th</w:t>
      </w:r>
      <w:r w:rsidR="00E455C2">
        <w:rPr>
          <w:b/>
          <w:noProof/>
          <w:sz w:val="24"/>
        </w:rPr>
        <w:t xml:space="preserve"> – 13</w:t>
      </w:r>
      <w:r w:rsidR="00AE41D5" w:rsidRPr="00AE41D5">
        <w:rPr>
          <w:b/>
          <w:noProof/>
          <w:sz w:val="24"/>
          <w:vertAlign w:val="superscript"/>
        </w:rPr>
        <w:t>th</w:t>
      </w:r>
      <w:r w:rsidR="00E455C2">
        <w:rPr>
          <w:b/>
          <w:noProof/>
          <w:sz w:val="24"/>
        </w:rPr>
        <w:t xml:space="preserve"> Oct 2023</w:t>
      </w:r>
    </w:p>
    <w:p w14:paraId="432B3E09" w14:textId="77777777" w:rsidR="00E90E49" w:rsidRPr="00CE0424" w:rsidRDefault="00E90E49" w:rsidP="00357380">
      <w:pPr>
        <w:pStyle w:val="3GPPHeader"/>
      </w:pPr>
    </w:p>
    <w:p w14:paraId="6CF7B12A" w14:textId="6EE0CAD7" w:rsidR="00E90E49" w:rsidRPr="00A11FE4" w:rsidRDefault="00E90E49" w:rsidP="00311702">
      <w:pPr>
        <w:pStyle w:val="3GPPHeader"/>
        <w:rPr>
          <w:sz w:val="22"/>
          <w:szCs w:val="22"/>
        </w:rPr>
      </w:pPr>
      <w:r w:rsidRPr="00A11FE4">
        <w:rPr>
          <w:sz w:val="22"/>
          <w:szCs w:val="22"/>
        </w:rPr>
        <w:t>Agenda Item:</w:t>
      </w:r>
      <w:r w:rsidRPr="00A11FE4">
        <w:rPr>
          <w:sz w:val="22"/>
          <w:szCs w:val="22"/>
        </w:rPr>
        <w:tab/>
      </w:r>
      <w:r w:rsidR="00A10BAE">
        <w:rPr>
          <w:sz w:val="22"/>
          <w:szCs w:val="22"/>
        </w:rPr>
        <w:t>7.24.2</w:t>
      </w:r>
    </w:p>
    <w:p w14:paraId="7554868D" w14:textId="193E98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r w:rsidR="00A11FE4">
        <w:rPr>
          <w:sz w:val="22"/>
          <w:szCs w:val="22"/>
        </w:rPr>
        <w:t>, Verizon</w:t>
      </w:r>
    </w:p>
    <w:p w14:paraId="46BAB773" w14:textId="614FF28D" w:rsidR="00E90E49" w:rsidRPr="00CE0424" w:rsidRDefault="003D3C45" w:rsidP="00311702">
      <w:pPr>
        <w:pStyle w:val="3GPPHeader"/>
        <w:rPr>
          <w:sz w:val="22"/>
          <w:szCs w:val="22"/>
        </w:rPr>
      </w:pPr>
      <w:r>
        <w:rPr>
          <w:sz w:val="22"/>
          <w:szCs w:val="22"/>
        </w:rPr>
        <w:t>Title:</w:t>
      </w:r>
      <w:r w:rsidR="00E90E49" w:rsidRPr="00CE0424">
        <w:rPr>
          <w:sz w:val="22"/>
          <w:szCs w:val="22"/>
        </w:rPr>
        <w:tab/>
      </w:r>
      <w:r w:rsidR="00FF2975">
        <w:rPr>
          <w:sz w:val="22"/>
          <w:szCs w:val="22"/>
        </w:rPr>
        <w:t>Steering stationary and low mobility UEs in FR2</w:t>
      </w:r>
    </w:p>
    <w:p w14:paraId="041C83BC"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A10BAE">
        <w:rPr>
          <w:sz w:val="22"/>
          <w:szCs w:val="22"/>
        </w:rPr>
        <w:t>Discussion, Decision</w:t>
      </w:r>
    </w:p>
    <w:p w14:paraId="54F66550" w14:textId="77777777" w:rsidR="00E90E49" w:rsidRPr="00CE0424" w:rsidRDefault="00E90E49" w:rsidP="00E90E49"/>
    <w:p w14:paraId="0B9999BD" w14:textId="77777777" w:rsidR="00E90E49" w:rsidRPr="00CE0424" w:rsidRDefault="00230D18" w:rsidP="00CE0424">
      <w:pPr>
        <w:pStyle w:val="Heading1"/>
      </w:pPr>
      <w:r>
        <w:t>1</w:t>
      </w:r>
      <w:r>
        <w:tab/>
      </w:r>
      <w:r w:rsidR="00E90E49" w:rsidRPr="00CE0424">
        <w:t>Introduction</w:t>
      </w:r>
    </w:p>
    <w:p w14:paraId="34E2FFFC" w14:textId="188F3497" w:rsidR="001B6381" w:rsidRPr="00CE0424" w:rsidRDefault="00FB221D" w:rsidP="00CE0424">
      <w:pPr>
        <w:pStyle w:val="BodyText"/>
      </w:pPr>
      <w:r>
        <w:t xml:space="preserve">One of the main benefits of NR is that operators have the possibility to utilize the </w:t>
      </w:r>
      <w:proofErr w:type="spellStart"/>
      <w:r>
        <w:t>mmWave</w:t>
      </w:r>
      <w:proofErr w:type="spellEnd"/>
      <w:r>
        <w:t xml:space="preserve"> spectrum (i.e., FR2) thus allow</w:t>
      </w:r>
      <w:r w:rsidR="006B2546">
        <w:t>ing</w:t>
      </w:r>
      <w:r>
        <w:t xml:space="preserve"> UE to </w:t>
      </w:r>
      <w:r w:rsidR="00D17B76">
        <w:t>access better performance in terms or latency and capacity</w:t>
      </w:r>
      <w:r w:rsidR="001B6381">
        <w:t>.</w:t>
      </w:r>
      <w:r w:rsidR="00D17B76">
        <w:t xml:space="preserve"> However, </w:t>
      </w:r>
      <w:proofErr w:type="gramStart"/>
      <w:r w:rsidR="00684011">
        <w:t>at the moment</w:t>
      </w:r>
      <w:proofErr w:type="gramEnd"/>
      <w:r w:rsidR="00684011">
        <w:t xml:space="preserve"> is not possible for the network to </w:t>
      </w:r>
      <w:r w:rsidR="002475A1">
        <w:t xml:space="preserve">indicate to the UE in which frequency to camp according to their mobility state. </w:t>
      </w:r>
      <w:r w:rsidR="002761B5">
        <w:t xml:space="preserve">This would be particularly useful </w:t>
      </w:r>
      <w:r w:rsidR="001370E3">
        <w:t xml:space="preserve">for those use cases, such as </w:t>
      </w:r>
      <w:r w:rsidR="006E2FB3">
        <w:t xml:space="preserve">Fixed Wireless Access, </w:t>
      </w:r>
      <w:r w:rsidR="001370E3">
        <w:t xml:space="preserve">FWA, where stationary UE may </w:t>
      </w:r>
      <w:r w:rsidR="00807CA8">
        <w:t xml:space="preserve">benefit from a </w:t>
      </w:r>
      <w:proofErr w:type="spellStart"/>
      <w:r w:rsidR="00807CA8">
        <w:t>PCell</w:t>
      </w:r>
      <w:proofErr w:type="spellEnd"/>
      <w:r w:rsidR="00807CA8">
        <w:t xml:space="preserve"> </w:t>
      </w:r>
      <w:proofErr w:type="spellStart"/>
      <w:r w:rsidR="00807CA8">
        <w:t>on FR</w:t>
      </w:r>
      <w:proofErr w:type="spellEnd"/>
      <w:r w:rsidR="00807CA8">
        <w:t xml:space="preserve">2 which allows for higher capacity but </w:t>
      </w:r>
      <w:proofErr w:type="gramStart"/>
      <w:r w:rsidR="00807CA8">
        <w:t>helps also</w:t>
      </w:r>
      <w:proofErr w:type="gramEnd"/>
      <w:r w:rsidR="00807CA8">
        <w:t xml:space="preserve"> the network to offload lower frequencies (e.g., FR1). In this contribution we </w:t>
      </w:r>
      <w:r w:rsidR="00C04BE8">
        <w:t>propose</w:t>
      </w:r>
      <w:r w:rsidR="00807CA8">
        <w:t xml:space="preserve"> solutions to address this problem.</w:t>
      </w:r>
    </w:p>
    <w:p w14:paraId="29BC8581" w14:textId="1A396698" w:rsidR="001B6381" w:rsidRDefault="00230D18" w:rsidP="001B6381">
      <w:pPr>
        <w:pStyle w:val="Heading1"/>
      </w:pPr>
      <w:bookmarkStart w:id="0" w:name="_Ref178064866"/>
      <w:r>
        <w:t>2</w:t>
      </w:r>
      <w:r>
        <w:tab/>
      </w:r>
      <w:r w:rsidR="004000E8" w:rsidRPr="00CE0424">
        <w:t>Discussion</w:t>
      </w:r>
      <w:bookmarkStart w:id="1" w:name="_Ref189046994"/>
      <w:bookmarkEnd w:id="0"/>
    </w:p>
    <w:p w14:paraId="62BE480D" w14:textId="5092D6B1" w:rsidR="00807CA8" w:rsidRDefault="00C04BE8" w:rsidP="00C04BE8">
      <w:pPr>
        <w:pStyle w:val="BodyText"/>
      </w:pPr>
      <w:r w:rsidRPr="00C04BE8">
        <w:t xml:space="preserve">Even if </w:t>
      </w:r>
      <w:r>
        <w:t xml:space="preserve">NR has the benefits to allow the deployment of cells in FR2, so far higher frequencies have been mainly utilized in case of dual connectivity (i.e., where the SCG is deployed on FR2) </w:t>
      </w:r>
      <w:r w:rsidR="006177F6">
        <w:t>and/</w:t>
      </w:r>
      <w:r>
        <w:t>or in case of carrier aggregation</w:t>
      </w:r>
      <w:r w:rsidR="006177F6">
        <w:t>. This is mainly because due to large propagation loss and fast fading</w:t>
      </w:r>
      <w:r w:rsidR="00E00A1B">
        <w:t xml:space="preserve"> effects, which make mobility in FR2 quite difficult.</w:t>
      </w:r>
    </w:p>
    <w:p w14:paraId="79EFA1B9" w14:textId="0A190DB6" w:rsidR="00E00A1B" w:rsidRDefault="00CF7143" w:rsidP="00E00A1B">
      <w:pPr>
        <w:pStyle w:val="Observation"/>
      </w:pPr>
      <w:bookmarkStart w:id="2" w:name="_Toc146802207"/>
      <w:r w:rsidRPr="00CF7143">
        <w:t xml:space="preserve">Mobility in </w:t>
      </w:r>
      <w:r>
        <w:t>FR2</w:t>
      </w:r>
      <w:r w:rsidRPr="00CF7143">
        <w:t xml:space="preserve"> is quite challenging due large propagation loss and </w:t>
      </w:r>
      <w:r>
        <w:t>fast fading effects.</w:t>
      </w:r>
      <w:bookmarkEnd w:id="2"/>
    </w:p>
    <w:p w14:paraId="06D4E38B" w14:textId="048EE575" w:rsidR="00CF7143" w:rsidRDefault="00CF7143" w:rsidP="00CF7143">
      <w:pPr>
        <w:pStyle w:val="BodyText"/>
      </w:pPr>
      <w:r>
        <w:t xml:space="preserve">Further, </w:t>
      </w:r>
      <w:r w:rsidR="002C18E2">
        <w:t xml:space="preserve">UE is generally required to use more power when operating on FR2 </w:t>
      </w:r>
      <w:proofErr w:type="gramStart"/>
      <w:r w:rsidR="002C18E2">
        <w:t xml:space="preserve">and </w:t>
      </w:r>
      <w:r w:rsidR="0045520F">
        <w:t>also</w:t>
      </w:r>
      <w:proofErr w:type="gramEnd"/>
      <w:r w:rsidR="0045520F">
        <w:t xml:space="preserve"> measurements require some effort as beam measurements are more complex than measurements performed on FR1.</w:t>
      </w:r>
    </w:p>
    <w:p w14:paraId="15508440" w14:textId="223921FF" w:rsidR="00811E9E" w:rsidRDefault="00811E9E" w:rsidP="00811E9E">
      <w:pPr>
        <w:pStyle w:val="Observation"/>
      </w:pPr>
      <w:bookmarkStart w:id="3" w:name="_Toc146802208"/>
      <w:r>
        <w:t>When operating on FR2, UE generally uses more power and measurements on beams are more complex.</w:t>
      </w:r>
      <w:bookmarkEnd w:id="3"/>
    </w:p>
    <w:p w14:paraId="73D3B278" w14:textId="74493BDE" w:rsidR="00C04BE8" w:rsidRDefault="00C71591" w:rsidP="00C04BE8">
      <w:pPr>
        <w:pStyle w:val="BodyText"/>
      </w:pPr>
      <w:r>
        <w:t xml:space="preserve">The observations described above, </w:t>
      </w:r>
      <w:r w:rsidR="00D5494E">
        <w:t xml:space="preserve">make very difficult to handle particular use cases, such as Fixed Wireless </w:t>
      </w:r>
      <w:r w:rsidR="00B22EA1">
        <w:t>Access</w:t>
      </w:r>
      <w:r w:rsidR="00D5494E">
        <w:t xml:space="preserve"> (FWA), where UE are mostly stationary or with low mobility</w:t>
      </w:r>
      <w:r w:rsidR="00B22EA1">
        <w:t>. In such a case, it would be beneficial for</w:t>
      </w:r>
      <w:r w:rsidR="001E0B73">
        <w:t xml:space="preserve"> the network to have a means so that</w:t>
      </w:r>
      <w:r w:rsidR="00B22EA1">
        <w:t xml:space="preserve"> the UE</w:t>
      </w:r>
      <w:r w:rsidR="001E0B73">
        <w:t>s</w:t>
      </w:r>
      <w:r w:rsidR="00B22EA1">
        <w:t xml:space="preserve"> which are in RRC_IDLE or RRC_INACTIVE </w:t>
      </w:r>
      <w:r w:rsidR="001E0B73">
        <w:t>would</w:t>
      </w:r>
      <w:r w:rsidR="00B22EA1">
        <w:t xml:space="preserve"> </w:t>
      </w:r>
      <w:r w:rsidR="001144CF">
        <w:t>camp on a cell in FR2</w:t>
      </w:r>
      <w:r w:rsidR="00A11DFF">
        <w:t>.</w:t>
      </w:r>
    </w:p>
    <w:p w14:paraId="3E4BE08E" w14:textId="3D0B5964" w:rsidR="00A11DFF" w:rsidRDefault="00A11DFF" w:rsidP="00A11DFF">
      <w:pPr>
        <w:pStyle w:val="Observation"/>
      </w:pPr>
      <w:bookmarkStart w:id="4" w:name="_Toc146802209"/>
      <w:r>
        <w:t>I</w:t>
      </w:r>
      <w:r w:rsidRPr="00A11DFF">
        <w:t xml:space="preserve">t would be beneficial for the network to have a means so that the UEs which are in RRC_IDLE or RRC_INACTIVE would </w:t>
      </w:r>
      <w:r w:rsidR="001144CF">
        <w:t xml:space="preserve">camp on a cell in </w:t>
      </w:r>
      <w:r w:rsidRPr="00A11DFF">
        <w:t>FR2</w:t>
      </w:r>
      <w:r>
        <w:t>.</w:t>
      </w:r>
      <w:bookmarkEnd w:id="4"/>
    </w:p>
    <w:p w14:paraId="3B9A4E40" w14:textId="77777777" w:rsidR="00616C87" w:rsidRDefault="00A11DFF" w:rsidP="00A11DFF">
      <w:pPr>
        <w:pStyle w:val="BodyText"/>
      </w:pPr>
      <w:proofErr w:type="gramStart"/>
      <w:r>
        <w:t>In order to</w:t>
      </w:r>
      <w:proofErr w:type="gramEnd"/>
      <w:r>
        <w:t xml:space="preserve"> address this aspect, possible solutions could be adopted</w:t>
      </w:r>
      <w:r w:rsidR="00616C87">
        <w:t>, also considering that current specification already support actions for UEs in RRC_IDLE and RRC_INACTIVE based on their mobility state. According to this, the following options can be pursued:</w:t>
      </w:r>
    </w:p>
    <w:p w14:paraId="35EDAE47" w14:textId="6B1C24C6" w:rsidR="00A11DFF" w:rsidRDefault="00616C87" w:rsidP="00616C87">
      <w:pPr>
        <w:pStyle w:val="BodyText"/>
        <w:numPr>
          <w:ilvl w:val="0"/>
          <w:numId w:val="24"/>
        </w:numPr>
      </w:pPr>
      <w:r>
        <w:t xml:space="preserve">Option 1: </w:t>
      </w:r>
      <w:r w:rsidR="00AC7EB9">
        <w:t>Try to r</w:t>
      </w:r>
      <w:r>
        <w:t xml:space="preserve">euse </w:t>
      </w:r>
      <w:r w:rsidR="00AC7EB9">
        <w:t>the mobility evaluation specified for the relaxed measurement (by the power saving WI).</w:t>
      </w:r>
    </w:p>
    <w:p w14:paraId="40E5802B" w14:textId="5E3E177B" w:rsidR="00AC7EB9" w:rsidRDefault="00AC7EB9" w:rsidP="00616C87">
      <w:pPr>
        <w:pStyle w:val="BodyText"/>
        <w:numPr>
          <w:ilvl w:val="0"/>
          <w:numId w:val="24"/>
        </w:numPr>
      </w:pPr>
      <w:r>
        <w:t xml:space="preserve">Option 2: </w:t>
      </w:r>
      <w:r w:rsidR="00343775">
        <w:t>Specify new mobility evaluation criteria for low mobility and stationary UE.</w:t>
      </w:r>
    </w:p>
    <w:p w14:paraId="1A648C48" w14:textId="2DF5106A" w:rsidR="00343775" w:rsidRDefault="00343775" w:rsidP="00343775">
      <w:pPr>
        <w:pStyle w:val="BodyText"/>
      </w:pPr>
      <w:r>
        <w:t xml:space="preserve">Since the mobility evaluation criteria in case of Option 1 are tight to the way how a UE can relax its measurements, it would be </w:t>
      </w:r>
      <w:r w:rsidR="00D46AF0">
        <w:t>less complex to have specify new mobility evaluation criteria which are more general and not tight to have specific feature. Therefore, we propose:</w:t>
      </w:r>
    </w:p>
    <w:p w14:paraId="2947940B" w14:textId="7771362E" w:rsidR="00D46AF0" w:rsidRDefault="00D46AF0" w:rsidP="00D46AF0">
      <w:pPr>
        <w:pStyle w:val="Proposal"/>
      </w:pPr>
      <w:bookmarkStart w:id="5" w:name="_Toc146802210"/>
      <w:r>
        <w:lastRenderedPageBreak/>
        <w:t xml:space="preserve">New mobility evaluation criteria are specified for low mobility and </w:t>
      </w:r>
      <w:proofErr w:type="gramStart"/>
      <w:r>
        <w:t>stationary</w:t>
      </w:r>
      <w:proofErr w:type="gramEnd"/>
      <w:r>
        <w:t xml:space="preserve"> UEs in RRC_IDLE and RRC_INACTIVE so that they can be steered to camp on a </w:t>
      </w:r>
      <w:r w:rsidR="001144CF">
        <w:t xml:space="preserve">cell </w:t>
      </w:r>
      <w:r>
        <w:t>deployed in FR2.</w:t>
      </w:r>
      <w:bookmarkEnd w:id="5"/>
    </w:p>
    <w:bookmarkEnd w:id="1"/>
    <w:p w14:paraId="1460E885" w14:textId="77777777" w:rsidR="007F2276" w:rsidRPr="00CE0424" w:rsidRDefault="007F2276" w:rsidP="007F2276">
      <w:pPr>
        <w:pStyle w:val="Heading1"/>
      </w:pPr>
      <w:r w:rsidRPr="00CE0424">
        <w:t>Conclusion</w:t>
      </w:r>
    </w:p>
    <w:p w14:paraId="4610652B"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0DE365EA" w14:textId="77777777" w:rsidR="00AA536E" w:rsidRDefault="006F6582">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46802207" w:history="1">
        <w:r w:rsidR="00AA536E" w:rsidRPr="00375D66">
          <w:rPr>
            <w:rStyle w:val="Hyperlink"/>
            <w:noProof/>
          </w:rPr>
          <w:t>Observation 1</w:t>
        </w:r>
        <w:r w:rsidR="00AA536E">
          <w:rPr>
            <w:rFonts w:asciiTheme="minorHAnsi" w:eastAsiaTheme="minorEastAsia" w:hAnsiTheme="minorHAnsi" w:cstheme="minorBidi"/>
            <w:b w:val="0"/>
            <w:noProof/>
            <w:kern w:val="2"/>
            <w:sz w:val="24"/>
            <w:szCs w:val="24"/>
            <w:lang w:val="en-FI" w:eastAsia="en-GB"/>
            <w14:ligatures w14:val="standardContextual"/>
          </w:rPr>
          <w:tab/>
        </w:r>
        <w:r w:rsidR="00AA536E" w:rsidRPr="00375D66">
          <w:rPr>
            <w:rStyle w:val="Hyperlink"/>
            <w:noProof/>
          </w:rPr>
          <w:t>Mobility in FR2 is quite challenging due large propagation loss and fast fading effects.</w:t>
        </w:r>
      </w:hyperlink>
    </w:p>
    <w:p w14:paraId="67C97688" w14:textId="77777777" w:rsidR="00AA536E" w:rsidRDefault="00A10BAE">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46802208" w:history="1">
        <w:r w:rsidR="00AA536E" w:rsidRPr="00375D66">
          <w:rPr>
            <w:rStyle w:val="Hyperlink"/>
            <w:noProof/>
          </w:rPr>
          <w:t>Observation 2</w:t>
        </w:r>
        <w:r w:rsidR="00AA536E">
          <w:rPr>
            <w:rFonts w:asciiTheme="minorHAnsi" w:eastAsiaTheme="minorEastAsia" w:hAnsiTheme="minorHAnsi" w:cstheme="minorBidi"/>
            <w:b w:val="0"/>
            <w:noProof/>
            <w:kern w:val="2"/>
            <w:sz w:val="24"/>
            <w:szCs w:val="24"/>
            <w:lang w:val="en-FI" w:eastAsia="en-GB"/>
            <w14:ligatures w14:val="standardContextual"/>
          </w:rPr>
          <w:tab/>
        </w:r>
        <w:r w:rsidR="00AA536E" w:rsidRPr="00375D66">
          <w:rPr>
            <w:rStyle w:val="Hyperlink"/>
            <w:noProof/>
          </w:rPr>
          <w:t>When operating on FR2, UE generally uses more power and measurements on beams are more complex.</w:t>
        </w:r>
      </w:hyperlink>
    </w:p>
    <w:p w14:paraId="36D525E9" w14:textId="77777777" w:rsidR="00AA536E" w:rsidRDefault="00A10BAE">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46802209" w:history="1">
        <w:r w:rsidR="00AA536E" w:rsidRPr="00375D66">
          <w:rPr>
            <w:rStyle w:val="Hyperlink"/>
            <w:noProof/>
          </w:rPr>
          <w:t>Observation 3</w:t>
        </w:r>
        <w:r w:rsidR="00AA536E">
          <w:rPr>
            <w:rFonts w:asciiTheme="minorHAnsi" w:eastAsiaTheme="minorEastAsia" w:hAnsiTheme="minorHAnsi" w:cstheme="minorBidi"/>
            <w:b w:val="0"/>
            <w:noProof/>
            <w:kern w:val="2"/>
            <w:sz w:val="24"/>
            <w:szCs w:val="24"/>
            <w:lang w:val="en-FI" w:eastAsia="en-GB"/>
            <w14:ligatures w14:val="standardContextual"/>
          </w:rPr>
          <w:tab/>
        </w:r>
        <w:r w:rsidR="00AA536E" w:rsidRPr="00375D66">
          <w:rPr>
            <w:rStyle w:val="Hyperlink"/>
            <w:noProof/>
          </w:rPr>
          <w:t>It would be beneficial for the network to have a means so that the UEs which are in RRC_IDLE or RRC_INACTIVE would camp on a cell in FR2.</w:t>
        </w:r>
      </w:hyperlink>
    </w:p>
    <w:p w14:paraId="3063B187" w14:textId="2A1C21B4" w:rsidR="006E1C82" w:rsidRDefault="006F6582" w:rsidP="008E065E">
      <w:pPr>
        <w:pStyle w:val="BodyText"/>
        <w:rPr>
          <w:b/>
          <w:bCs/>
        </w:rPr>
      </w:pPr>
      <w:r>
        <w:rPr>
          <w:b/>
          <w:bCs/>
        </w:rPr>
        <w:fldChar w:fldCharType="end"/>
      </w:r>
    </w:p>
    <w:p w14:paraId="7B9E4794"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11A05AAD" w14:textId="77777777" w:rsidR="00AA536E" w:rsidRDefault="006E1C82">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46802210" w:history="1">
        <w:r w:rsidR="00AA536E" w:rsidRPr="000A2AAD">
          <w:rPr>
            <w:rStyle w:val="Hyperlink"/>
            <w:noProof/>
          </w:rPr>
          <w:t>Proposal 1</w:t>
        </w:r>
        <w:r w:rsidR="00AA536E">
          <w:rPr>
            <w:rFonts w:asciiTheme="minorHAnsi" w:eastAsiaTheme="minorEastAsia" w:hAnsiTheme="minorHAnsi" w:cstheme="minorBidi"/>
            <w:b w:val="0"/>
            <w:noProof/>
            <w:kern w:val="2"/>
            <w:sz w:val="24"/>
            <w:szCs w:val="24"/>
            <w:lang w:val="en-FI" w:eastAsia="en-GB"/>
            <w14:ligatures w14:val="standardContextual"/>
          </w:rPr>
          <w:tab/>
        </w:r>
        <w:r w:rsidR="00AA536E" w:rsidRPr="000A2AAD">
          <w:rPr>
            <w:rStyle w:val="Hyperlink"/>
            <w:noProof/>
          </w:rPr>
          <w:t>New mobility evaluation criteria are specified for low mobility and stationary UEs in RRC_IDLE and RRC_INACTIVE so that they can be steered to camp on a cell deployed in FR2.</w:t>
        </w:r>
      </w:hyperlink>
    </w:p>
    <w:p w14:paraId="53922BF6" w14:textId="4FC35A57" w:rsidR="00C01F33" w:rsidRPr="00CA6029" w:rsidRDefault="006E1C82" w:rsidP="00CA6029">
      <w:pPr>
        <w:pStyle w:val="BodyText"/>
        <w:rPr>
          <w:b/>
          <w:bCs/>
        </w:rPr>
      </w:pPr>
      <w:r>
        <w:rPr>
          <w:b/>
          <w:bCs/>
          <w:lang w:val="en-US"/>
        </w:rPr>
        <w:fldChar w:fldCharType="end"/>
      </w:r>
    </w:p>
    <w:p w14:paraId="6FECCF80" w14:textId="135153AD" w:rsidR="003A7EF3" w:rsidRPr="00CE0424" w:rsidRDefault="00F507D1" w:rsidP="00CA6029">
      <w:pPr>
        <w:pStyle w:val="Heading1"/>
      </w:pPr>
      <w:bookmarkStart w:id="6" w:name="_In-sequence_SDU_delivery"/>
      <w:bookmarkEnd w:id="6"/>
      <w:r w:rsidRPr="00CE0424">
        <w:t>References</w:t>
      </w:r>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4A000D" w14:textId="77777777" w:rsidR="0098796D" w:rsidRDefault="0098796D">
      <w:r>
        <w:separator/>
      </w:r>
    </w:p>
  </w:endnote>
  <w:endnote w:type="continuationSeparator" w:id="0">
    <w:p w14:paraId="055B0ABA" w14:textId="77777777" w:rsidR="0098796D" w:rsidRDefault="0098796D">
      <w:r>
        <w:continuationSeparator/>
      </w:r>
    </w:p>
  </w:endnote>
  <w:endnote w:type="continuationNotice" w:id="1">
    <w:p w14:paraId="64D10664" w14:textId="77777777" w:rsidR="00FB4C91" w:rsidRDefault="00FB4C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40C19"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F0949D" w14:textId="77777777" w:rsidR="0098796D" w:rsidRDefault="0098796D">
      <w:r>
        <w:separator/>
      </w:r>
    </w:p>
  </w:footnote>
  <w:footnote w:type="continuationSeparator" w:id="0">
    <w:p w14:paraId="620A825F" w14:textId="77777777" w:rsidR="0098796D" w:rsidRDefault="0098796D">
      <w:r>
        <w:continuationSeparator/>
      </w:r>
    </w:p>
  </w:footnote>
  <w:footnote w:type="continuationNotice" w:id="1">
    <w:p w14:paraId="1BA54FD9" w14:textId="77777777" w:rsidR="00FB4C91" w:rsidRDefault="00FB4C9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9C3ED"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98907B6"/>
    <w:multiLevelType w:val="hybridMultilevel"/>
    <w:tmpl w:val="DEF6149C"/>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D421C5E"/>
    <w:multiLevelType w:val="hybridMultilevel"/>
    <w:tmpl w:val="DE66A152"/>
    <w:lvl w:ilvl="0" w:tplc="0809000F">
      <w:start w:val="1"/>
      <w:numFmt w:val="decimal"/>
      <w:lvlText w:val="%1."/>
      <w:lvlJc w:val="left"/>
      <w:pPr>
        <w:ind w:left="778" w:hanging="360"/>
      </w:pPr>
    </w:lvl>
    <w:lvl w:ilvl="1" w:tplc="08090019" w:tentative="1">
      <w:start w:val="1"/>
      <w:numFmt w:val="lowerLetter"/>
      <w:lvlText w:val="%2."/>
      <w:lvlJc w:val="left"/>
      <w:pPr>
        <w:ind w:left="1498" w:hanging="360"/>
      </w:pPr>
    </w:lvl>
    <w:lvl w:ilvl="2" w:tplc="0809001B" w:tentative="1">
      <w:start w:val="1"/>
      <w:numFmt w:val="lowerRoman"/>
      <w:lvlText w:val="%3."/>
      <w:lvlJc w:val="right"/>
      <w:pPr>
        <w:ind w:left="2218" w:hanging="180"/>
      </w:pPr>
    </w:lvl>
    <w:lvl w:ilvl="3" w:tplc="0809000F" w:tentative="1">
      <w:start w:val="1"/>
      <w:numFmt w:val="decimal"/>
      <w:lvlText w:val="%4."/>
      <w:lvlJc w:val="left"/>
      <w:pPr>
        <w:ind w:left="2938" w:hanging="360"/>
      </w:pPr>
    </w:lvl>
    <w:lvl w:ilvl="4" w:tplc="08090019" w:tentative="1">
      <w:start w:val="1"/>
      <w:numFmt w:val="lowerLetter"/>
      <w:lvlText w:val="%5."/>
      <w:lvlJc w:val="left"/>
      <w:pPr>
        <w:ind w:left="3658" w:hanging="360"/>
      </w:pPr>
    </w:lvl>
    <w:lvl w:ilvl="5" w:tplc="0809001B" w:tentative="1">
      <w:start w:val="1"/>
      <w:numFmt w:val="lowerRoman"/>
      <w:lvlText w:val="%6."/>
      <w:lvlJc w:val="right"/>
      <w:pPr>
        <w:ind w:left="4378" w:hanging="180"/>
      </w:pPr>
    </w:lvl>
    <w:lvl w:ilvl="6" w:tplc="0809000F" w:tentative="1">
      <w:start w:val="1"/>
      <w:numFmt w:val="decimal"/>
      <w:lvlText w:val="%7."/>
      <w:lvlJc w:val="left"/>
      <w:pPr>
        <w:ind w:left="5098" w:hanging="360"/>
      </w:pPr>
    </w:lvl>
    <w:lvl w:ilvl="7" w:tplc="08090019" w:tentative="1">
      <w:start w:val="1"/>
      <w:numFmt w:val="lowerLetter"/>
      <w:lvlText w:val="%8."/>
      <w:lvlJc w:val="left"/>
      <w:pPr>
        <w:ind w:left="5818" w:hanging="360"/>
      </w:pPr>
    </w:lvl>
    <w:lvl w:ilvl="8" w:tplc="0809001B" w:tentative="1">
      <w:start w:val="1"/>
      <w:numFmt w:val="lowerRoman"/>
      <w:lvlText w:val="%9."/>
      <w:lvlJc w:val="right"/>
      <w:pPr>
        <w:ind w:left="6538"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253582480">
    <w:abstractNumId w:val="3"/>
  </w:num>
  <w:num w:numId="2" w16cid:durableId="1639341018">
    <w:abstractNumId w:val="16"/>
  </w:num>
  <w:num w:numId="3" w16cid:durableId="149030463">
    <w:abstractNumId w:val="12"/>
  </w:num>
  <w:num w:numId="4" w16cid:durableId="1793861358">
    <w:abstractNumId w:val="13"/>
  </w:num>
  <w:num w:numId="5" w16cid:durableId="1243223580">
    <w:abstractNumId w:val="9"/>
  </w:num>
  <w:num w:numId="6" w16cid:durableId="228659845">
    <w:abstractNumId w:val="15"/>
  </w:num>
  <w:num w:numId="7" w16cid:durableId="758915933">
    <w:abstractNumId w:val="20"/>
  </w:num>
  <w:num w:numId="8" w16cid:durableId="779645832">
    <w:abstractNumId w:val="10"/>
  </w:num>
  <w:num w:numId="9" w16cid:durableId="237790278">
    <w:abstractNumId w:val="8"/>
  </w:num>
  <w:num w:numId="10" w16cid:durableId="1774858864">
    <w:abstractNumId w:val="2"/>
  </w:num>
  <w:num w:numId="11" w16cid:durableId="98722567">
    <w:abstractNumId w:val="1"/>
  </w:num>
  <w:num w:numId="12" w16cid:durableId="818768327">
    <w:abstractNumId w:val="0"/>
  </w:num>
  <w:num w:numId="13" w16cid:durableId="1463575834">
    <w:abstractNumId w:val="18"/>
  </w:num>
  <w:num w:numId="14" w16cid:durableId="1237780611">
    <w:abstractNumId w:val="19"/>
  </w:num>
  <w:num w:numId="15" w16cid:durableId="1303653466">
    <w:abstractNumId w:val="14"/>
  </w:num>
  <w:num w:numId="16" w16cid:durableId="1461000268">
    <w:abstractNumId w:val="21"/>
  </w:num>
  <w:num w:numId="17" w16cid:durableId="2068138227">
    <w:abstractNumId w:val="6"/>
  </w:num>
  <w:num w:numId="18" w16cid:durableId="458114767">
    <w:abstractNumId w:val="7"/>
  </w:num>
  <w:num w:numId="19" w16cid:durableId="995108944">
    <w:abstractNumId w:val="5"/>
  </w:num>
  <w:num w:numId="20" w16cid:durableId="822239829">
    <w:abstractNumId w:val="23"/>
  </w:num>
  <w:num w:numId="21" w16cid:durableId="976183084">
    <w:abstractNumId w:val="11"/>
  </w:num>
  <w:num w:numId="22" w16cid:durableId="1374117700">
    <w:abstractNumId w:val="22"/>
  </w:num>
  <w:num w:numId="23" w16cid:durableId="1441530894">
    <w:abstractNumId w:val="17"/>
  </w:num>
  <w:num w:numId="24" w16cid:durableId="1673675987">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96D"/>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3D13"/>
    <w:rsid w:val="00044078"/>
    <w:rsid w:val="000444EF"/>
    <w:rsid w:val="00052A07"/>
    <w:rsid w:val="000534E3"/>
    <w:rsid w:val="0005606A"/>
    <w:rsid w:val="00056E3B"/>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44CF"/>
    <w:rsid w:val="001153EA"/>
    <w:rsid w:val="00115643"/>
    <w:rsid w:val="00116765"/>
    <w:rsid w:val="00120B7F"/>
    <w:rsid w:val="001219F5"/>
    <w:rsid w:val="00121A20"/>
    <w:rsid w:val="0012377F"/>
    <w:rsid w:val="00124314"/>
    <w:rsid w:val="00126B4A"/>
    <w:rsid w:val="00132FD0"/>
    <w:rsid w:val="001344C0"/>
    <w:rsid w:val="001346FA"/>
    <w:rsid w:val="00135252"/>
    <w:rsid w:val="001370E3"/>
    <w:rsid w:val="00137AB5"/>
    <w:rsid w:val="00137F0B"/>
    <w:rsid w:val="00151E23"/>
    <w:rsid w:val="001526E0"/>
    <w:rsid w:val="001551B5"/>
    <w:rsid w:val="001659C1"/>
    <w:rsid w:val="0017361E"/>
    <w:rsid w:val="00173A8E"/>
    <w:rsid w:val="0017502C"/>
    <w:rsid w:val="0018143F"/>
    <w:rsid w:val="00181FF8"/>
    <w:rsid w:val="00190AC1"/>
    <w:rsid w:val="0019341A"/>
    <w:rsid w:val="00197DF9"/>
    <w:rsid w:val="001A1987"/>
    <w:rsid w:val="001A2564"/>
    <w:rsid w:val="001A6173"/>
    <w:rsid w:val="001A6CBA"/>
    <w:rsid w:val="001B0D97"/>
    <w:rsid w:val="001B5A5D"/>
    <w:rsid w:val="001B6381"/>
    <w:rsid w:val="001C1CE5"/>
    <w:rsid w:val="001C3D2A"/>
    <w:rsid w:val="001D51BA"/>
    <w:rsid w:val="001D53E7"/>
    <w:rsid w:val="001D6342"/>
    <w:rsid w:val="001D6D53"/>
    <w:rsid w:val="001E0B73"/>
    <w:rsid w:val="001E58E2"/>
    <w:rsid w:val="001E7AED"/>
    <w:rsid w:val="001F3916"/>
    <w:rsid w:val="001F51B0"/>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07A8"/>
    <w:rsid w:val="00241559"/>
    <w:rsid w:val="002435B3"/>
    <w:rsid w:val="002458EB"/>
    <w:rsid w:val="002475A1"/>
    <w:rsid w:val="002500C8"/>
    <w:rsid w:val="00257543"/>
    <w:rsid w:val="002617E7"/>
    <w:rsid w:val="00264228"/>
    <w:rsid w:val="00264334"/>
    <w:rsid w:val="0026473E"/>
    <w:rsid w:val="00266214"/>
    <w:rsid w:val="00267C83"/>
    <w:rsid w:val="0027144F"/>
    <w:rsid w:val="00271813"/>
    <w:rsid w:val="00271F3A"/>
    <w:rsid w:val="00273278"/>
    <w:rsid w:val="002737F4"/>
    <w:rsid w:val="002761B5"/>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0CCC"/>
    <w:rsid w:val="002C18E2"/>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3775"/>
    <w:rsid w:val="00346DB5"/>
    <w:rsid w:val="003477B1"/>
    <w:rsid w:val="00350659"/>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520F"/>
    <w:rsid w:val="00457565"/>
    <w:rsid w:val="00457B71"/>
    <w:rsid w:val="004669E2"/>
    <w:rsid w:val="00470C31"/>
    <w:rsid w:val="00471DE0"/>
    <w:rsid w:val="004734D0"/>
    <w:rsid w:val="0047556B"/>
    <w:rsid w:val="00477768"/>
    <w:rsid w:val="00492BC5"/>
    <w:rsid w:val="004964F1"/>
    <w:rsid w:val="004A16BC"/>
    <w:rsid w:val="004A2B94"/>
    <w:rsid w:val="004B61D9"/>
    <w:rsid w:val="004B69E8"/>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63DFE"/>
    <w:rsid w:val="00572505"/>
    <w:rsid w:val="00582809"/>
    <w:rsid w:val="0058798C"/>
    <w:rsid w:val="005900FA"/>
    <w:rsid w:val="00592735"/>
    <w:rsid w:val="005935A4"/>
    <w:rsid w:val="005948C2"/>
    <w:rsid w:val="00595DCA"/>
    <w:rsid w:val="0059779B"/>
    <w:rsid w:val="005A0E12"/>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16C87"/>
    <w:rsid w:val="006177F6"/>
    <w:rsid w:val="00620A71"/>
    <w:rsid w:val="00620D80"/>
    <w:rsid w:val="006234A6"/>
    <w:rsid w:val="006255E7"/>
    <w:rsid w:val="00630001"/>
    <w:rsid w:val="006311B3"/>
    <w:rsid w:val="0063284C"/>
    <w:rsid w:val="00633C08"/>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4D18"/>
    <w:rsid w:val="006655EE"/>
    <w:rsid w:val="00667EE7"/>
    <w:rsid w:val="00670922"/>
    <w:rsid w:val="00670BE1"/>
    <w:rsid w:val="0067218F"/>
    <w:rsid w:val="006741F2"/>
    <w:rsid w:val="00674CC3"/>
    <w:rsid w:val="00675C72"/>
    <w:rsid w:val="006771F9"/>
    <w:rsid w:val="006776D7"/>
    <w:rsid w:val="00681003"/>
    <w:rsid w:val="006817C9"/>
    <w:rsid w:val="00683ECE"/>
    <w:rsid w:val="00684011"/>
    <w:rsid w:val="00694754"/>
    <w:rsid w:val="00695FC2"/>
    <w:rsid w:val="00696949"/>
    <w:rsid w:val="00697052"/>
    <w:rsid w:val="006A46FB"/>
    <w:rsid w:val="006A5E28"/>
    <w:rsid w:val="006A697B"/>
    <w:rsid w:val="006A7AFF"/>
    <w:rsid w:val="006B1816"/>
    <w:rsid w:val="006B2099"/>
    <w:rsid w:val="006B2546"/>
    <w:rsid w:val="006B50CF"/>
    <w:rsid w:val="006C03B8"/>
    <w:rsid w:val="006C5EC9"/>
    <w:rsid w:val="006C6059"/>
    <w:rsid w:val="006C7522"/>
    <w:rsid w:val="006D6F08"/>
    <w:rsid w:val="006E062C"/>
    <w:rsid w:val="006E1C82"/>
    <w:rsid w:val="006E28B7"/>
    <w:rsid w:val="006E2A9B"/>
    <w:rsid w:val="006E2FB3"/>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031F"/>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2276"/>
    <w:rsid w:val="00803FAE"/>
    <w:rsid w:val="0080605F"/>
    <w:rsid w:val="00807786"/>
    <w:rsid w:val="00807CA8"/>
    <w:rsid w:val="00811E9E"/>
    <w:rsid w:val="00811FCB"/>
    <w:rsid w:val="008158D6"/>
    <w:rsid w:val="00817196"/>
    <w:rsid w:val="008235DB"/>
    <w:rsid w:val="00824AB4"/>
    <w:rsid w:val="00825C42"/>
    <w:rsid w:val="00825D25"/>
    <w:rsid w:val="00827D6F"/>
    <w:rsid w:val="008376AC"/>
    <w:rsid w:val="008444E8"/>
    <w:rsid w:val="00844E80"/>
    <w:rsid w:val="00846FE7"/>
    <w:rsid w:val="00856911"/>
    <w:rsid w:val="008619F6"/>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4BF4"/>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442D"/>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7313"/>
    <w:rsid w:val="0098796D"/>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56D3"/>
    <w:rsid w:val="009D703C"/>
    <w:rsid w:val="009D718F"/>
    <w:rsid w:val="009E068F"/>
    <w:rsid w:val="009E14E0"/>
    <w:rsid w:val="009E35DB"/>
    <w:rsid w:val="009E47A3"/>
    <w:rsid w:val="009F08F3"/>
    <w:rsid w:val="009F15D7"/>
    <w:rsid w:val="009F344F"/>
    <w:rsid w:val="00A031D8"/>
    <w:rsid w:val="00A048A8"/>
    <w:rsid w:val="00A04D6E"/>
    <w:rsid w:val="00A04F49"/>
    <w:rsid w:val="00A10BAE"/>
    <w:rsid w:val="00A11DFF"/>
    <w:rsid w:val="00A11FE4"/>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2111"/>
    <w:rsid w:val="00A739D0"/>
    <w:rsid w:val="00A761D4"/>
    <w:rsid w:val="00A77EC4"/>
    <w:rsid w:val="00A92879"/>
    <w:rsid w:val="00A9442A"/>
    <w:rsid w:val="00AA016F"/>
    <w:rsid w:val="00AA19AF"/>
    <w:rsid w:val="00AA1ED6"/>
    <w:rsid w:val="00AA51D6"/>
    <w:rsid w:val="00AA536E"/>
    <w:rsid w:val="00AB0BC8"/>
    <w:rsid w:val="00AB11CA"/>
    <w:rsid w:val="00AB14D9"/>
    <w:rsid w:val="00AB4AB8"/>
    <w:rsid w:val="00AB655E"/>
    <w:rsid w:val="00AC007F"/>
    <w:rsid w:val="00AC2ECD"/>
    <w:rsid w:val="00AC3119"/>
    <w:rsid w:val="00AC49FB"/>
    <w:rsid w:val="00AC5A10"/>
    <w:rsid w:val="00AC7EB9"/>
    <w:rsid w:val="00AD0AA3"/>
    <w:rsid w:val="00AD3F94"/>
    <w:rsid w:val="00AD4A5A"/>
    <w:rsid w:val="00AE27AC"/>
    <w:rsid w:val="00AE40E0"/>
    <w:rsid w:val="00AE41D5"/>
    <w:rsid w:val="00AE4DBA"/>
    <w:rsid w:val="00AE4F07"/>
    <w:rsid w:val="00AF1C5D"/>
    <w:rsid w:val="00AF42D7"/>
    <w:rsid w:val="00B006FE"/>
    <w:rsid w:val="00B007CB"/>
    <w:rsid w:val="00B02AA9"/>
    <w:rsid w:val="00B02FA3"/>
    <w:rsid w:val="00B05084"/>
    <w:rsid w:val="00B11D80"/>
    <w:rsid w:val="00B157F9"/>
    <w:rsid w:val="00B20256"/>
    <w:rsid w:val="00B20D09"/>
    <w:rsid w:val="00B22EA1"/>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B"/>
    <w:rsid w:val="00BC0FDC"/>
    <w:rsid w:val="00BC3053"/>
    <w:rsid w:val="00BC4D2E"/>
    <w:rsid w:val="00BC6663"/>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4BE8"/>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1591"/>
    <w:rsid w:val="00C72093"/>
    <w:rsid w:val="00C7259F"/>
    <w:rsid w:val="00C72EF4"/>
    <w:rsid w:val="00C744FE"/>
    <w:rsid w:val="00C75D2F"/>
    <w:rsid w:val="00C767BE"/>
    <w:rsid w:val="00C76E3C"/>
    <w:rsid w:val="00C81568"/>
    <w:rsid w:val="00C9027A"/>
    <w:rsid w:val="00C9068E"/>
    <w:rsid w:val="00C93814"/>
    <w:rsid w:val="00C93C4B"/>
    <w:rsid w:val="00C944AB"/>
    <w:rsid w:val="00C95B40"/>
    <w:rsid w:val="00CA1ED8"/>
    <w:rsid w:val="00CA6029"/>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CF7143"/>
    <w:rsid w:val="00D0349B"/>
    <w:rsid w:val="00D05F17"/>
    <w:rsid w:val="00D10249"/>
    <w:rsid w:val="00D115C3"/>
    <w:rsid w:val="00D11897"/>
    <w:rsid w:val="00D13135"/>
    <w:rsid w:val="00D13E4E"/>
    <w:rsid w:val="00D17B76"/>
    <w:rsid w:val="00D239A7"/>
    <w:rsid w:val="00D23F47"/>
    <w:rsid w:val="00D36E71"/>
    <w:rsid w:val="00D37D87"/>
    <w:rsid w:val="00D40B33"/>
    <w:rsid w:val="00D4318F"/>
    <w:rsid w:val="00D438BF"/>
    <w:rsid w:val="00D440F8"/>
    <w:rsid w:val="00D46AF0"/>
    <w:rsid w:val="00D546FF"/>
    <w:rsid w:val="00D5494E"/>
    <w:rsid w:val="00D55AD5"/>
    <w:rsid w:val="00D576CA"/>
    <w:rsid w:val="00D61AF5"/>
    <w:rsid w:val="00D652B5"/>
    <w:rsid w:val="00D66155"/>
    <w:rsid w:val="00D708B0"/>
    <w:rsid w:val="00D76988"/>
    <w:rsid w:val="00D77B1D"/>
    <w:rsid w:val="00D8021F"/>
    <w:rsid w:val="00D80383"/>
    <w:rsid w:val="00D81F57"/>
    <w:rsid w:val="00D823C6"/>
    <w:rsid w:val="00D8327F"/>
    <w:rsid w:val="00D86CA3"/>
    <w:rsid w:val="00D871CE"/>
    <w:rsid w:val="00D9196D"/>
    <w:rsid w:val="00D92982"/>
    <w:rsid w:val="00DA305E"/>
    <w:rsid w:val="00DA5417"/>
    <w:rsid w:val="00DA56E8"/>
    <w:rsid w:val="00DB0A9F"/>
    <w:rsid w:val="00DB377D"/>
    <w:rsid w:val="00DC2D36"/>
    <w:rsid w:val="00DC53EF"/>
    <w:rsid w:val="00DE4119"/>
    <w:rsid w:val="00DE5608"/>
    <w:rsid w:val="00DE58D0"/>
    <w:rsid w:val="00DE654F"/>
    <w:rsid w:val="00DF0B6E"/>
    <w:rsid w:val="00DF15E0"/>
    <w:rsid w:val="00DF37A0"/>
    <w:rsid w:val="00E00A1B"/>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55C2"/>
    <w:rsid w:val="00E46886"/>
    <w:rsid w:val="00E47AEF"/>
    <w:rsid w:val="00E53B75"/>
    <w:rsid w:val="00E54E3B"/>
    <w:rsid w:val="00E567D8"/>
    <w:rsid w:val="00E57565"/>
    <w:rsid w:val="00E6119B"/>
    <w:rsid w:val="00E63838"/>
    <w:rsid w:val="00E64434"/>
    <w:rsid w:val="00E67C51"/>
    <w:rsid w:val="00E72EFC"/>
    <w:rsid w:val="00E74143"/>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299F"/>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39C6"/>
    <w:rsid w:val="00F74BB9"/>
    <w:rsid w:val="00F75582"/>
    <w:rsid w:val="00F76EFA"/>
    <w:rsid w:val="00F804BE"/>
    <w:rsid w:val="00F817CE"/>
    <w:rsid w:val="00F8456C"/>
    <w:rsid w:val="00F859D8"/>
    <w:rsid w:val="00F868F5"/>
    <w:rsid w:val="00F9056A"/>
    <w:rsid w:val="00F90F8D"/>
    <w:rsid w:val="00F92782"/>
    <w:rsid w:val="00F92A76"/>
    <w:rsid w:val="00F93AA9"/>
    <w:rsid w:val="00F96985"/>
    <w:rsid w:val="00F97838"/>
    <w:rsid w:val="00FA2BB3"/>
    <w:rsid w:val="00FB221D"/>
    <w:rsid w:val="00FB4C80"/>
    <w:rsid w:val="00FB4C91"/>
    <w:rsid w:val="00FB6A6A"/>
    <w:rsid w:val="00FC7429"/>
    <w:rsid w:val="00FD07F6"/>
    <w:rsid w:val="00FD1EC8"/>
    <w:rsid w:val="00FD47ED"/>
    <w:rsid w:val="00FD74DB"/>
    <w:rsid w:val="00FD7660"/>
    <w:rsid w:val="00FE0655"/>
    <w:rsid w:val="00FE0F21"/>
    <w:rsid w:val="00FE2365"/>
    <w:rsid w:val="00FE37D7"/>
    <w:rsid w:val="00FE4C7B"/>
    <w:rsid w:val="00FE7336"/>
    <w:rsid w:val="00FE787C"/>
    <w:rsid w:val="00FF2975"/>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FD6A18"/>
  <w15:chartTrackingRefBased/>
  <w15:docId w15:val="{0AC425A5-DB02-4FEF-876A-630CA5015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styleId="Revision">
    <w:name w:val="Revision"/>
    <w:hidden/>
    <w:uiPriority w:val="99"/>
    <w:semiHidden/>
    <w:rsid w:val="00FB4C91"/>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0E8DDF4-C7AB-4405-B64F-C3732A484463}">
  <ds:schemaRefs>
    <ds:schemaRef ds:uri="http://schemas.openxmlformats.org/officeDocument/2006/bibliography"/>
  </ds:schemaRefs>
</ds:datastoreItem>
</file>

<file path=customXml/itemProps2.xml><?xml version="1.0" encoding="utf-8"?>
<ds:datastoreItem xmlns:ds="http://schemas.openxmlformats.org/officeDocument/2006/customXml" ds:itemID="{828FB0F0-AA40-4CC9-B1E9-826608C2F7F4}">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6DD53915-5260-4AF8-A623-53025B394D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6CD74A3-6CE5-4845-8323-9E5093E816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C:\Temp\R2-18xxxxx - Contribution Template.dotx</Template>
  <TotalTime>59</TotalTime>
  <Pages>2</Pages>
  <Words>626</Words>
  <Characters>3280</Characters>
  <Application>Microsoft Office Word</Application>
  <DocSecurity>0</DocSecurity>
  <Lines>72</Lines>
  <Paragraphs>50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3856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 RAN2#123</cp:lastModifiedBy>
  <cp:revision>74</cp:revision>
  <cp:lastPrinted>2008-01-31T07:09:00Z</cp:lastPrinted>
  <dcterms:created xsi:type="dcterms:W3CDTF">2023-08-31T07:30:00Z</dcterms:created>
  <dcterms:modified xsi:type="dcterms:W3CDTF">2023-09-28T16:27:00Z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